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44BD2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Запропоновані проекти тарифів в порівнянні з діючими:</w:t>
      </w:r>
    </w:p>
    <w:tbl>
      <w:tblPr>
        <w:tblStyle w:val="3"/>
        <w:tblW w:w="5000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2"/>
        <w:gridCol w:w="1361"/>
        <w:gridCol w:w="1259"/>
        <w:gridCol w:w="1447"/>
        <w:gridCol w:w="1203"/>
      </w:tblGrid>
      <w:tr w14:paraId="52167D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A1D68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Найменування показників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32AC3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Тарифи, які застосовуються згідно з рішення від 24.09.2020 р. № 425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9C9C9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Діючі тарифи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0775E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6627A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Проєкт тарифів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B812EA">
            <w:pPr>
              <w:spacing w:after="0" w:line="240" w:lineRule="auto"/>
              <w:rPr>
                <w:rFonts w:ascii="Calibri" w:hAnsi="Calibri" w:eastAsia="Times New Roman" w:cs="Calibri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%</w:t>
            </w:r>
          </w:p>
          <w:p w14:paraId="6ED797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зростання</w:t>
            </w:r>
          </w:p>
          <w:p w14:paraId="515E81C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/зменшення тарифів</w:t>
            </w:r>
          </w:p>
        </w:tc>
      </w:tr>
      <w:tr w14:paraId="4825A2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50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5F5F5"/>
          </w:tcPr>
          <w:p w14:paraId="3D81DBAF">
            <w:pPr>
              <w:spacing w:after="0" w:line="240" w:lineRule="auto"/>
              <w:ind w:firstLine="709"/>
              <w:jc w:val="center"/>
              <w:rPr>
                <w:rFonts w:ascii="Calibri" w:hAnsi="Calibri" w:eastAsia="Times New Roman" w:cs="Calibri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Тарифи для потреб населення</w:t>
            </w:r>
          </w:p>
        </w:tc>
      </w:tr>
      <w:tr w14:paraId="6D34CD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9D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Теплова енергія, грн./Гкал, з ПДВ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66ED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1547,34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9567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3257,88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695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4130,09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37A2A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14:paraId="0FDB27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C1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Послуги постачання гарячої води, грн./м3 з ПДВ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8D1E92">
            <w:pPr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0B3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185,01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36AA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237,19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A6A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28,2</w:t>
            </w:r>
          </w:p>
        </w:tc>
      </w:tr>
      <w:tr w14:paraId="4EC434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D7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Послуги постачання гарячої води за умови підключення рушнико-сушильників до системи гарячого водопостачання, грн./м3 з ПДВ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098C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94,84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1334F6">
            <w:pPr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368B5B">
            <w:pPr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8D7955">
            <w:pPr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14:paraId="201518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C5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Послуги постачання гарячої води за умови відсутності рушнико-сушильників, грн./м3 з ПДВ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C358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88,14</w:t>
            </w: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1A9E6A">
            <w:pPr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C86DDE">
            <w:pPr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079AFB">
            <w:pPr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14:paraId="7E1C64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5F5F5"/>
          </w:tcPr>
          <w:p w14:paraId="16D2CC9A">
            <w:pPr>
              <w:spacing w:after="0" w:line="240" w:lineRule="auto"/>
              <w:ind w:firstLine="709"/>
              <w:jc w:val="center"/>
              <w:rPr>
                <w:rFonts w:ascii="Calibri" w:hAnsi="Calibri" w:eastAsia="Times New Roman" w:cs="Calibr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Тарифи для бюджетних установ/організацій</w:t>
            </w:r>
          </w:p>
        </w:tc>
      </w:tr>
      <w:tr w14:paraId="30B5C7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06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Теплова енергія, грн./Гкал, з ПДВ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D8B5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5D7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4753,19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F175C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5492,09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0C46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</w:tr>
      <w:tr w14:paraId="7865F5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5000" w:type="pct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09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Тарифи для інших споживачів</w:t>
            </w:r>
          </w:p>
        </w:tc>
      </w:tr>
      <w:tr w14:paraId="22A429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82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Теплова енергія, грн../Гкал, з ПДВ</w:t>
            </w:r>
          </w:p>
        </w:tc>
        <w:tc>
          <w:tcPr>
            <w:tcW w:w="8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1042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10852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5223,83</w:t>
            </w:r>
          </w:p>
        </w:tc>
        <w:tc>
          <w:tcPr>
            <w:tcW w:w="86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7FCD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6947,54</w:t>
            </w:r>
          </w:p>
        </w:tc>
        <w:tc>
          <w:tcPr>
            <w:tcW w:w="72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8CBE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32,3</w:t>
            </w:r>
          </w:p>
        </w:tc>
      </w:tr>
    </w:tbl>
    <w:p w14:paraId="0345726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F1F47"/>
    <w:rsid w:val="63A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2026-07-09T18:56:00Z</dcterms:created>
  <dc:creator>User</dc:creator>
  <cp:lastModifiedBy>User</cp:lastModifiedBy>
  <dcterms:modified xsi:type="dcterms:W3CDTF">2026-07-09T18:56:47Z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2C3C91779F6E4FFC9F9F42AF1FB34701_11</vt:lpwstr>
  </property>
  <property fmtid="{D5CDD505-2E9C-101B-9397-08002B2CF9AE}" pid="4" name="KSOTemplateDocerSaveRecord">
    <vt:lpwstr>eyJoZGlkIjoiZDc5YWU2ODRiMzYwZTNhNDYzMmNiZTQ2NDJmZmZkNWIifQ==</vt:lpwstr>
  </property>
</Properties>
</file>